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446"/>
        <w:tblW w:w="0" w:type="auto"/>
        <w:tblLook w:val="04A0" w:firstRow="1" w:lastRow="0" w:firstColumn="1" w:lastColumn="0" w:noHBand="0" w:noVBand="1"/>
      </w:tblPr>
      <w:tblGrid>
        <w:gridCol w:w="4788"/>
        <w:gridCol w:w="4788"/>
      </w:tblGrid>
      <w:tr w:rsidR="0095542E" w:rsidRPr="0017264B" w:rsidTr="00E33710">
        <w:tc>
          <w:tcPr>
            <w:tcW w:w="4788" w:type="dxa"/>
          </w:tcPr>
          <w:p w:rsidR="0095542E" w:rsidRPr="0017264B" w:rsidRDefault="0095542E" w:rsidP="00E33710">
            <w:pPr>
              <w:rPr>
                <w:sz w:val="32"/>
                <w:szCs w:val="32"/>
              </w:rPr>
            </w:pPr>
          </w:p>
        </w:tc>
        <w:tc>
          <w:tcPr>
            <w:tcW w:w="4788" w:type="dxa"/>
          </w:tcPr>
          <w:p w:rsidR="0095542E" w:rsidRPr="0017264B" w:rsidRDefault="0095542E" w:rsidP="00E33710">
            <w:pPr>
              <w:rPr>
                <w:sz w:val="32"/>
                <w:szCs w:val="32"/>
              </w:rPr>
            </w:pPr>
          </w:p>
        </w:tc>
      </w:tr>
      <w:tr w:rsidR="00E33710" w:rsidRPr="0017264B" w:rsidTr="00E33710">
        <w:tc>
          <w:tcPr>
            <w:tcW w:w="4788" w:type="dxa"/>
          </w:tcPr>
          <w:p w:rsidR="00E33710" w:rsidRPr="0017264B" w:rsidRDefault="00E33710" w:rsidP="00E33710">
            <w:pPr>
              <w:rPr>
                <w:sz w:val="32"/>
                <w:szCs w:val="32"/>
              </w:rPr>
            </w:pPr>
            <w:r w:rsidRPr="0017264B">
              <w:rPr>
                <w:sz w:val="32"/>
                <w:szCs w:val="32"/>
              </w:rPr>
              <w:t>“He had bear ears. He was brindle colored and built like a truck, and his ears were rounded when we got him, so that they looked like bear club ears” (97).</w:t>
            </w:r>
            <w:bookmarkStart w:id="0" w:name="_GoBack"/>
            <w:bookmarkEnd w:id="0"/>
          </w:p>
        </w:tc>
        <w:tc>
          <w:tcPr>
            <w:tcW w:w="4788" w:type="dxa"/>
          </w:tcPr>
          <w:p w:rsidR="00E33710" w:rsidRPr="0017264B" w:rsidRDefault="00E33710" w:rsidP="00E33710">
            <w:pPr>
              <w:rPr>
                <w:sz w:val="32"/>
                <w:szCs w:val="32"/>
              </w:rPr>
            </w:pPr>
            <w:r w:rsidRPr="0017264B">
              <w:rPr>
                <w:sz w:val="32"/>
                <w:szCs w:val="32"/>
              </w:rPr>
              <w:t xml:space="preserve">This quotation makes me think of a dog with curved and very un-dog like ears. This made me wonder what the dogs ears really looked like and just how curved they really were. I think this was a significant passage because it tells what the dog looked like. Also, I wondered what the color brindle is. </w:t>
            </w:r>
          </w:p>
        </w:tc>
      </w:tr>
      <w:tr w:rsidR="00E33710" w:rsidRPr="0017264B" w:rsidTr="00E33710">
        <w:tc>
          <w:tcPr>
            <w:tcW w:w="4788" w:type="dxa"/>
          </w:tcPr>
          <w:p w:rsidR="00E33710" w:rsidRPr="0017264B" w:rsidRDefault="00E33710" w:rsidP="00E33710">
            <w:pPr>
              <w:rPr>
                <w:sz w:val="32"/>
                <w:szCs w:val="32"/>
              </w:rPr>
            </w:pPr>
            <w:r w:rsidRPr="0017264B">
              <w:rPr>
                <w:sz w:val="32"/>
                <w:szCs w:val="32"/>
              </w:rPr>
              <w:t>“Along with the jokes, Storm had scale eyes. He watched as the sled was loaded, carefully calculated the weight of each item, and let his disapproval be known if it went too far” (99).</w:t>
            </w:r>
          </w:p>
        </w:tc>
        <w:tc>
          <w:tcPr>
            <w:tcW w:w="4788" w:type="dxa"/>
          </w:tcPr>
          <w:p w:rsidR="00E33710" w:rsidRPr="0017264B" w:rsidRDefault="00E33710" w:rsidP="00E33710">
            <w:pPr>
              <w:rPr>
                <w:sz w:val="32"/>
                <w:szCs w:val="32"/>
              </w:rPr>
            </w:pPr>
            <w:r w:rsidRPr="0017264B">
              <w:rPr>
                <w:sz w:val="32"/>
                <w:szCs w:val="32"/>
              </w:rPr>
              <w:t xml:space="preserve">I was surprised by the fact that Storm could tell if a load was too heavy to carry. I observe that because of this fact that Storm had been working for some time and was able to gauge if something was too heavy to carry. I also think the person knew when Storm showed his disapproval. </w:t>
            </w:r>
          </w:p>
        </w:tc>
      </w:tr>
      <w:tr w:rsidR="00E33710" w:rsidRPr="0017264B" w:rsidTr="00E33710">
        <w:tc>
          <w:tcPr>
            <w:tcW w:w="4788" w:type="dxa"/>
          </w:tcPr>
          <w:p w:rsidR="00E33710" w:rsidRPr="0017264B" w:rsidRDefault="00E33710" w:rsidP="00E33710">
            <w:pPr>
              <w:rPr>
                <w:sz w:val="32"/>
                <w:szCs w:val="32"/>
              </w:rPr>
            </w:pPr>
            <w:r w:rsidRPr="0017264B">
              <w:rPr>
                <w:sz w:val="32"/>
                <w:szCs w:val="32"/>
              </w:rPr>
              <w:t>“It is always possible to learn from dogs, and in fact the longer I’m with them, the more I understand how little I know” (97).</w:t>
            </w:r>
          </w:p>
        </w:tc>
        <w:tc>
          <w:tcPr>
            <w:tcW w:w="4788" w:type="dxa"/>
          </w:tcPr>
          <w:p w:rsidR="00E33710" w:rsidRPr="0017264B" w:rsidRDefault="00E33710" w:rsidP="00E33710">
            <w:pPr>
              <w:rPr>
                <w:sz w:val="32"/>
                <w:szCs w:val="32"/>
              </w:rPr>
            </w:pPr>
            <w:r w:rsidRPr="0017264B">
              <w:rPr>
                <w:sz w:val="32"/>
                <w:szCs w:val="32"/>
              </w:rPr>
              <w:t xml:space="preserve">This is very true. I have two dogs and they teach me things all the time. For example, I know dogs have good hearing, but once on Christmas Eve, my dog Sable, barked before the doorbell rang. Also, I know dogs are loyal, but when my friends came over for a birthday party, my dog didn’t like them and would bark whenever they came hear me. Because of these things, I can definitely relate to this quote. This quote makes </w:t>
            </w:r>
            <w:r w:rsidRPr="0017264B">
              <w:rPr>
                <w:sz w:val="32"/>
                <w:szCs w:val="32"/>
              </w:rPr>
              <w:lastRenderedPageBreak/>
              <w:t xml:space="preserve">me think that this person also had an experience like this with his dog. </w:t>
            </w:r>
          </w:p>
        </w:tc>
      </w:tr>
      <w:tr w:rsidR="00E33710" w:rsidRPr="0017264B" w:rsidTr="00E33710">
        <w:tc>
          <w:tcPr>
            <w:tcW w:w="4788" w:type="dxa"/>
          </w:tcPr>
          <w:p w:rsidR="00E33710" w:rsidRPr="0017264B" w:rsidRDefault="00E33710" w:rsidP="00E33710">
            <w:pPr>
              <w:rPr>
                <w:sz w:val="32"/>
                <w:szCs w:val="32"/>
              </w:rPr>
            </w:pPr>
          </w:p>
        </w:tc>
        <w:tc>
          <w:tcPr>
            <w:tcW w:w="4788" w:type="dxa"/>
          </w:tcPr>
          <w:p w:rsidR="00E33710" w:rsidRPr="0017264B" w:rsidRDefault="00E33710" w:rsidP="00E33710">
            <w:pPr>
              <w:rPr>
                <w:sz w:val="32"/>
                <w:szCs w:val="32"/>
              </w:rPr>
            </w:pPr>
          </w:p>
        </w:tc>
      </w:tr>
    </w:tbl>
    <w:p w:rsidR="0095542E" w:rsidRDefault="00E33710" w:rsidP="0095542E">
      <w:pPr>
        <w:jc w:val="center"/>
        <w:rPr>
          <w:b/>
          <w:sz w:val="24"/>
          <w:szCs w:val="24"/>
        </w:rPr>
      </w:pPr>
      <w:r w:rsidRPr="00E33710">
        <w:rPr>
          <w:b/>
          <w:sz w:val="24"/>
          <w:szCs w:val="24"/>
        </w:rPr>
        <w:t>Doub</w:t>
      </w:r>
      <w:r w:rsidR="0095542E">
        <w:rPr>
          <w:b/>
          <w:sz w:val="24"/>
          <w:szCs w:val="24"/>
        </w:rPr>
        <w:t>le Entry Journal Models/Example</w:t>
      </w:r>
    </w:p>
    <w:p w:rsidR="0095542E" w:rsidRPr="00E33710" w:rsidRDefault="0095542E" w:rsidP="00E33710">
      <w:pPr>
        <w:jc w:val="center"/>
        <w:rPr>
          <w:b/>
          <w:sz w:val="24"/>
          <w:szCs w:val="24"/>
        </w:rPr>
      </w:pPr>
    </w:p>
    <w:sectPr w:rsidR="0095542E" w:rsidRPr="00E33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A4"/>
    <w:rsid w:val="00076616"/>
    <w:rsid w:val="0017264B"/>
    <w:rsid w:val="001A5966"/>
    <w:rsid w:val="00353BDC"/>
    <w:rsid w:val="009111A4"/>
    <w:rsid w:val="0095542E"/>
    <w:rsid w:val="00B00D9C"/>
    <w:rsid w:val="00DE1046"/>
    <w:rsid w:val="00E33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2012-09-05T19:26:00Z</dcterms:created>
  <dcterms:modified xsi:type="dcterms:W3CDTF">2012-09-06T13:32:00Z</dcterms:modified>
</cp:coreProperties>
</file>